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81AEC86">
      <w:pPr>
        <w:spacing w:before="176" w:line="357" w:lineRule="auto"/>
        <w:ind w:left="2900" w:right="77" w:hanging="2814"/>
        <w:rPr>
          <w:lang w:eastAsia="zh-CN"/>
        </w:rPr>
      </w:pPr>
      <w:r>
        <w:rPr>
          <w:rFonts w:hint="eastAsia" w:ascii="华文中宋" w:hAnsi="华文中宋" w:eastAsia="华文中宋" w:cstheme="minorBidi"/>
          <w:snapToGrid/>
          <w:kern w:val="2"/>
          <w:sz w:val="32"/>
          <w:szCs w:val="32"/>
          <w:lang w:eastAsia="zh-CN"/>
        </w:rPr>
        <w:t>辽宁大学 2026 年招收攻读博士学位研究生(普通招考方式) 初试科目考试大纲</w:t>
      </w:r>
    </w:p>
    <w:p w14:paraId="2BF0A247">
      <w:pPr>
        <w:pStyle w:val="2"/>
        <w:spacing w:before="91" w:line="219" w:lineRule="auto"/>
        <w:ind w:left="34"/>
        <w:rPr>
          <w:rFonts w:hint="eastAsia"/>
          <w:sz w:val="28"/>
          <w:szCs w:val="28"/>
          <w:lang w:eastAsia="zh-CN"/>
        </w:rPr>
      </w:pPr>
      <w:r>
        <w:rPr>
          <w:b/>
          <w:bCs/>
          <w:spacing w:val="-4"/>
          <w:sz w:val="28"/>
          <w:szCs w:val="28"/>
          <w:lang w:eastAsia="zh-CN"/>
        </w:rPr>
        <w:t>科目代码：</w:t>
      </w:r>
      <w:r>
        <w:rPr>
          <w:spacing w:val="-4"/>
          <w:sz w:val="28"/>
          <w:szCs w:val="28"/>
          <w:lang w:eastAsia="zh-CN"/>
        </w:rPr>
        <w:t>2002</w:t>
      </w:r>
    </w:p>
    <w:p w14:paraId="498E5037">
      <w:pPr>
        <w:pStyle w:val="2"/>
        <w:spacing w:before="293" w:line="397" w:lineRule="auto"/>
        <w:ind w:left="34" w:right="3571"/>
        <w:rPr>
          <w:rFonts w:hint="eastAsia" w:ascii="Arial"/>
          <w:sz w:val="21"/>
          <w:lang w:eastAsia="zh-CN"/>
        </w:rPr>
      </w:pPr>
      <w:r>
        <w:rPr>
          <w:b/>
          <w:bCs/>
          <w:spacing w:val="-3"/>
          <w:sz w:val="28"/>
          <w:szCs w:val="28"/>
          <w:lang w:eastAsia="zh-CN"/>
        </w:rPr>
        <w:t>科目名称：</w:t>
      </w:r>
      <w:r>
        <w:rPr>
          <w:spacing w:val="-3"/>
          <w:sz w:val="28"/>
          <w:szCs w:val="28"/>
          <w:lang w:eastAsia="zh-CN"/>
        </w:rPr>
        <w:t>经济学基础理论（经济类）</w:t>
      </w:r>
      <w:r>
        <w:rPr>
          <w:spacing w:val="3"/>
          <w:sz w:val="28"/>
          <w:szCs w:val="28"/>
          <w:lang w:eastAsia="zh-CN"/>
        </w:rPr>
        <w:t xml:space="preserve"> </w:t>
      </w:r>
      <w:r>
        <w:rPr>
          <w:b/>
          <w:bCs/>
          <w:spacing w:val="-7"/>
          <w:sz w:val="28"/>
          <w:szCs w:val="28"/>
          <w:lang w:eastAsia="zh-CN"/>
        </w:rPr>
        <w:t>满分：</w:t>
      </w:r>
      <w:r>
        <w:rPr>
          <w:spacing w:val="-7"/>
          <w:sz w:val="28"/>
          <w:szCs w:val="28"/>
          <w:lang w:eastAsia="zh-CN"/>
        </w:rPr>
        <w:t>100</w:t>
      </w:r>
      <w:r>
        <w:rPr>
          <w:spacing w:val="-45"/>
          <w:sz w:val="28"/>
          <w:szCs w:val="28"/>
          <w:lang w:eastAsia="zh-CN"/>
        </w:rPr>
        <w:t xml:space="preserve"> </w:t>
      </w:r>
      <w:r>
        <w:rPr>
          <w:spacing w:val="-7"/>
          <w:sz w:val="28"/>
          <w:szCs w:val="28"/>
          <w:lang w:eastAsia="zh-CN"/>
        </w:rPr>
        <w:t>分</w:t>
      </w:r>
    </w:p>
    <w:p w14:paraId="73A82053">
      <w:pPr>
        <w:spacing w:before="78" w:line="220" w:lineRule="auto"/>
        <w:ind w:left="3451"/>
        <w:rPr>
          <w:rFonts w:hint="eastAsia" w:ascii="仿宋" w:hAnsi="仿宋" w:eastAsia="仿宋" w:cs="仿宋"/>
          <w:b/>
          <w:bCs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  <w:t>微观经济理论</w:t>
      </w:r>
    </w:p>
    <w:p w14:paraId="13ED01E6">
      <w:pPr>
        <w:spacing w:line="258" w:lineRule="auto"/>
        <w:rPr>
          <w:rFonts w:hint="eastAsia" w:ascii="仿宋" w:hAnsi="仿宋" w:eastAsia="仿宋" w:cs="仿宋"/>
          <w:sz w:val="28"/>
          <w:szCs w:val="28"/>
          <w:lang w:eastAsia="zh-CN"/>
        </w:rPr>
      </w:pPr>
    </w:p>
    <w:p w14:paraId="066E7DD8">
      <w:pPr>
        <w:spacing w:before="78" w:line="220" w:lineRule="auto"/>
        <w:ind w:left="21"/>
        <w:outlineLvl w:val="0"/>
        <w:rPr>
          <w:rFonts w:hint="eastAsia" w:ascii="仿宋" w:hAnsi="仿宋" w:eastAsia="仿宋" w:cs="仿宋"/>
          <w:b/>
          <w:bCs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  <w:t>一、经济学的数学基础、经济学与经济模型</w:t>
      </w:r>
    </w:p>
    <w:p w14:paraId="57DE7E2A">
      <w:pPr>
        <w:pStyle w:val="2"/>
        <w:spacing w:before="173" w:line="216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1"/>
          <w:sz w:val="28"/>
          <w:szCs w:val="28"/>
          <w:lang w:eastAsia="zh-CN"/>
        </w:rPr>
        <w:t>（一）凹函数、凹函数的判定、凹函数的性质</w:t>
      </w:r>
    </w:p>
    <w:p w14:paraId="0D9B0207">
      <w:pPr>
        <w:pStyle w:val="2"/>
        <w:spacing w:before="31" w:line="216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1"/>
          <w:sz w:val="28"/>
          <w:szCs w:val="28"/>
          <w:lang w:eastAsia="zh-CN"/>
        </w:rPr>
        <w:t>（二）凸函数、凸函数的判定、凸函数的性质</w:t>
      </w:r>
    </w:p>
    <w:p w14:paraId="0EA9882F">
      <w:pPr>
        <w:pStyle w:val="2"/>
        <w:spacing w:before="31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1"/>
          <w:sz w:val="28"/>
          <w:szCs w:val="28"/>
          <w:lang w:eastAsia="zh-CN"/>
        </w:rPr>
        <w:t>（三）优化方法及一阶条件与二阶条件、优化方法的应用</w:t>
      </w:r>
    </w:p>
    <w:p w14:paraId="18DA2B0C">
      <w:pPr>
        <w:pStyle w:val="2"/>
        <w:spacing w:before="30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（四）包络定理及应用</w:t>
      </w:r>
    </w:p>
    <w:p w14:paraId="04B23924">
      <w:pPr>
        <w:pStyle w:val="2"/>
        <w:spacing w:before="29" w:line="219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（五）齐次函数及应用</w:t>
      </w:r>
    </w:p>
    <w:p w14:paraId="4446BC05">
      <w:pPr>
        <w:pStyle w:val="2"/>
        <w:spacing w:before="27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（六）经济学发展简史</w:t>
      </w:r>
    </w:p>
    <w:p w14:paraId="68A7F085">
      <w:pPr>
        <w:pStyle w:val="2"/>
        <w:spacing w:before="31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（七）微观经济学的研究对象</w:t>
      </w:r>
    </w:p>
    <w:p w14:paraId="0DC2FCF4">
      <w:pPr>
        <w:pStyle w:val="2"/>
        <w:spacing w:before="29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3"/>
          <w:sz w:val="28"/>
          <w:szCs w:val="28"/>
          <w:lang w:eastAsia="zh-CN"/>
        </w:rPr>
        <w:t>（八）经济模型</w:t>
      </w:r>
    </w:p>
    <w:p w14:paraId="0C6EDFEE">
      <w:pPr>
        <w:spacing w:before="78" w:line="220" w:lineRule="auto"/>
        <w:ind w:left="21"/>
        <w:outlineLvl w:val="0"/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  <w:t>二、消费者理论</w:t>
      </w:r>
    </w:p>
    <w:p w14:paraId="14916549">
      <w:pPr>
        <w:pStyle w:val="2"/>
        <w:spacing w:before="173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（一）基数效用理论与消费者均衡</w:t>
      </w:r>
    </w:p>
    <w:p w14:paraId="28E7615C">
      <w:pPr>
        <w:pStyle w:val="2"/>
        <w:spacing w:before="29" w:line="219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4"/>
          <w:sz w:val="28"/>
          <w:szCs w:val="28"/>
          <w:lang w:eastAsia="zh-CN"/>
        </w:rPr>
        <w:t>（二）偏好</w:t>
      </w:r>
    </w:p>
    <w:p w14:paraId="4F8ED6F8">
      <w:pPr>
        <w:pStyle w:val="2"/>
        <w:spacing w:before="28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（三）序数效用理论与消费者均衡</w:t>
      </w:r>
    </w:p>
    <w:p w14:paraId="35D9CC0D">
      <w:pPr>
        <w:pStyle w:val="2"/>
        <w:spacing w:before="30" w:line="219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（四）收入效应与替代效应</w:t>
      </w:r>
    </w:p>
    <w:p w14:paraId="7F75CE09">
      <w:pPr>
        <w:pStyle w:val="2"/>
        <w:spacing w:before="27" w:line="219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（五）间接效用函数</w:t>
      </w:r>
    </w:p>
    <w:p w14:paraId="656E1BC4">
      <w:pPr>
        <w:pStyle w:val="2"/>
        <w:spacing w:before="27" w:line="219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（六）支出函数</w:t>
      </w:r>
    </w:p>
    <w:p w14:paraId="4C2C08A4">
      <w:pPr>
        <w:pStyle w:val="2"/>
        <w:spacing w:before="28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1"/>
          <w:sz w:val="28"/>
          <w:szCs w:val="28"/>
          <w:lang w:eastAsia="zh-CN"/>
        </w:rPr>
        <w:t>（七）马歇尔需求函数与希克斯需求函数</w:t>
      </w:r>
    </w:p>
    <w:p w14:paraId="50545EA2">
      <w:pPr>
        <w:pStyle w:val="2"/>
        <w:spacing w:before="30" w:line="216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3"/>
          <w:sz w:val="28"/>
          <w:szCs w:val="28"/>
          <w:lang w:eastAsia="zh-CN"/>
        </w:rPr>
        <w:t>（八）需求弹性</w:t>
      </w:r>
    </w:p>
    <w:p w14:paraId="4FBF4BA3">
      <w:pPr>
        <w:pStyle w:val="2"/>
        <w:spacing w:before="32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（九）消费者剩余</w:t>
      </w:r>
    </w:p>
    <w:p w14:paraId="78C57D6F">
      <w:pPr>
        <w:pStyle w:val="2"/>
        <w:spacing w:before="29" w:line="216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5"/>
          <w:sz w:val="28"/>
          <w:szCs w:val="28"/>
          <w:lang w:eastAsia="zh-CN"/>
        </w:rPr>
        <w:t>（十）不确定条件下消费者的选择</w:t>
      </w:r>
    </w:p>
    <w:p w14:paraId="4B6A07A1">
      <w:pPr>
        <w:spacing w:before="78" w:line="220" w:lineRule="auto"/>
        <w:ind w:left="21"/>
        <w:outlineLvl w:val="0"/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  <w:t>三、生产者理论</w:t>
      </w:r>
    </w:p>
    <w:p w14:paraId="3DB39284">
      <w:pPr>
        <w:pStyle w:val="2"/>
        <w:spacing w:before="173" w:line="219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（一）生产函数</w:t>
      </w:r>
    </w:p>
    <w:p w14:paraId="2D08A26D">
      <w:pPr>
        <w:pStyle w:val="2"/>
        <w:spacing w:before="28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（二）短期的生产函数及相关理论</w:t>
      </w:r>
    </w:p>
    <w:p w14:paraId="3F4C0C96">
      <w:pPr>
        <w:pStyle w:val="2"/>
        <w:spacing w:before="30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（三）长期的生产函数及相关理论</w:t>
      </w:r>
    </w:p>
    <w:p w14:paraId="0E3AF34F">
      <w:pPr>
        <w:pStyle w:val="2"/>
        <w:spacing w:before="30" w:line="218" w:lineRule="auto"/>
        <w:ind w:left="30"/>
        <w:rPr>
          <w:spacing w:val="-2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（四）成本函数</w:t>
      </w:r>
    </w:p>
    <w:p w14:paraId="0BDE134F">
      <w:pPr>
        <w:pStyle w:val="2"/>
        <w:spacing w:before="30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（五）短期成本函数及相关理论</w:t>
      </w:r>
    </w:p>
    <w:p w14:paraId="619768C8">
      <w:pPr>
        <w:pStyle w:val="2"/>
        <w:spacing w:before="30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（六）长期成本函数及相关理论</w:t>
      </w:r>
    </w:p>
    <w:p w14:paraId="089BAB82">
      <w:pPr>
        <w:pStyle w:val="2"/>
        <w:spacing w:before="28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（七）规模报酬与规模经济</w:t>
      </w:r>
    </w:p>
    <w:p w14:paraId="570F4E73">
      <w:pPr>
        <w:spacing w:before="78" w:line="220" w:lineRule="auto"/>
        <w:ind w:left="21"/>
        <w:outlineLvl w:val="0"/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  <w:t>四、完全竞争市场的局部均衡</w:t>
      </w:r>
    </w:p>
    <w:p w14:paraId="014182C6">
      <w:pPr>
        <w:pStyle w:val="2"/>
        <w:spacing w:before="173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（一）完全竞争与均衡</w:t>
      </w:r>
    </w:p>
    <w:p w14:paraId="4942961C">
      <w:pPr>
        <w:pStyle w:val="2"/>
        <w:spacing w:before="29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1"/>
          <w:sz w:val="28"/>
          <w:szCs w:val="28"/>
          <w:lang w:eastAsia="zh-CN"/>
        </w:rPr>
        <w:t>（二）完全竞争厂商与行业的短期供给曲线</w:t>
      </w:r>
    </w:p>
    <w:p w14:paraId="1A858226">
      <w:pPr>
        <w:pStyle w:val="2"/>
        <w:spacing w:before="30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1"/>
          <w:sz w:val="28"/>
          <w:szCs w:val="28"/>
          <w:lang w:eastAsia="zh-CN"/>
        </w:rPr>
        <w:t>（三）完全竞争行业的长期供给曲线</w:t>
      </w:r>
    </w:p>
    <w:p w14:paraId="0EDE9FCF">
      <w:pPr>
        <w:pStyle w:val="2"/>
        <w:spacing w:before="30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（四）生产者剩余</w:t>
      </w:r>
    </w:p>
    <w:p w14:paraId="0DA57DED">
      <w:pPr>
        <w:pStyle w:val="2"/>
        <w:spacing w:before="29" w:line="216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10"/>
          <w:sz w:val="28"/>
          <w:szCs w:val="28"/>
          <w:lang w:eastAsia="zh-CN"/>
        </w:rPr>
        <w:t>（五）</w:t>
      </w:r>
      <w:r>
        <w:rPr>
          <w:rFonts w:hint="eastAsia"/>
          <w:spacing w:val="-67"/>
          <w:sz w:val="28"/>
          <w:szCs w:val="28"/>
          <w:lang w:eastAsia="zh-CN"/>
        </w:rPr>
        <w:t xml:space="preserve"> </w:t>
      </w:r>
      <w:r>
        <w:rPr>
          <w:rFonts w:hint="eastAsia"/>
          <w:spacing w:val="-10"/>
          <w:sz w:val="28"/>
          <w:szCs w:val="28"/>
          <w:lang w:eastAsia="zh-CN"/>
        </w:rPr>
        <w:t>供给弹性</w:t>
      </w:r>
    </w:p>
    <w:p w14:paraId="20DCA9A4">
      <w:pPr>
        <w:pStyle w:val="2"/>
        <w:spacing w:before="32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（六）完全竞争均衡与福利</w:t>
      </w:r>
    </w:p>
    <w:p w14:paraId="4C64C96D">
      <w:pPr>
        <w:pStyle w:val="2"/>
        <w:spacing w:before="29" w:line="217" w:lineRule="auto"/>
        <w:ind w:left="30"/>
        <w:rPr>
          <w:rFonts w:hint="eastAsia"/>
          <w:sz w:val="28"/>
          <w:szCs w:val="28"/>
        </w:rPr>
      </w:pPr>
      <w:r>
        <w:rPr>
          <w:rFonts w:hint="eastAsia"/>
          <w:spacing w:val="-2"/>
          <w:sz w:val="28"/>
          <w:szCs w:val="28"/>
        </w:rPr>
        <w:t>（七）政府价格管制与福利</w:t>
      </w:r>
    </w:p>
    <w:p w14:paraId="51903410">
      <w:pPr>
        <w:pStyle w:val="2"/>
        <w:spacing w:before="31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（八）政府税收与福利</w:t>
      </w:r>
    </w:p>
    <w:p w14:paraId="242A1F02">
      <w:pPr>
        <w:pStyle w:val="2"/>
        <w:spacing w:before="28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8"/>
          <w:sz w:val="28"/>
          <w:szCs w:val="28"/>
          <w:lang w:eastAsia="zh-CN"/>
        </w:rPr>
        <w:t>（九）自由贸易与福利</w:t>
      </w:r>
    </w:p>
    <w:p w14:paraId="7EF4575B">
      <w:pPr>
        <w:pStyle w:val="2"/>
        <w:spacing w:before="28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（十）贸易保护与福利</w:t>
      </w:r>
    </w:p>
    <w:p w14:paraId="7EC830C5">
      <w:pPr>
        <w:spacing w:before="78" w:line="220" w:lineRule="auto"/>
        <w:ind w:left="21"/>
        <w:outlineLvl w:val="0"/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  <w:t>五、不完全竞争市场的局部均衡</w:t>
      </w:r>
    </w:p>
    <w:p w14:paraId="6103F95D">
      <w:pPr>
        <w:pStyle w:val="2"/>
        <w:spacing w:before="173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（一）垄断与均衡</w:t>
      </w:r>
    </w:p>
    <w:p w14:paraId="7082521A">
      <w:pPr>
        <w:pStyle w:val="2"/>
        <w:spacing w:before="30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（二）垄断厂商的价格歧视</w:t>
      </w:r>
    </w:p>
    <w:p w14:paraId="5294B02C">
      <w:pPr>
        <w:pStyle w:val="2"/>
        <w:spacing w:before="30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（三）垄断均衡与福利</w:t>
      </w:r>
    </w:p>
    <w:p w14:paraId="2D376439">
      <w:pPr>
        <w:pStyle w:val="2"/>
        <w:spacing w:before="30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6"/>
          <w:sz w:val="28"/>
          <w:szCs w:val="28"/>
          <w:lang w:eastAsia="zh-CN"/>
        </w:rPr>
        <w:t>（四）</w:t>
      </w:r>
      <w:bookmarkStart w:id="0" w:name="_GoBack"/>
      <w:bookmarkEnd w:id="0"/>
      <w:r>
        <w:rPr>
          <w:rFonts w:hint="eastAsia"/>
          <w:spacing w:val="-6"/>
          <w:sz w:val="28"/>
          <w:szCs w:val="28"/>
          <w:lang w:eastAsia="zh-CN"/>
        </w:rPr>
        <w:t>自然垄断及对其公共管制</w:t>
      </w:r>
    </w:p>
    <w:p w14:paraId="410CA930">
      <w:pPr>
        <w:pStyle w:val="2"/>
        <w:spacing w:before="30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（五）垄断竞争与均衡</w:t>
      </w:r>
    </w:p>
    <w:p w14:paraId="1DC35F0C">
      <w:pPr>
        <w:pStyle w:val="2"/>
        <w:spacing w:before="30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（六）垄断竞争均衡与福利</w:t>
      </w:r>
    </w:p>
    <w:p w14:paraId="6B220335">
      <w:pPr>
        <w:pStyle w:val="2"/>
        <w:spacing w:before="30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（七）寡头与均衡</w:t>
      </w:r>
    </w:p>
    <w:p w14:paraId="12E1FCC5">
      <w:pPr>
        <w:pStyle w:val="2"/>
        <w:spacing w:before="30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4"/>
          <w:sz w:val="28"/>
          <w:szCs w:val="28"/>
          <w:lang w:eastAsia="zh-CN"/>
        </w:rPr>
        <w:t>（八）</w:t>
      </w:r>
      <w:r>
        <w:rPr>
          <w:rFonts w:hint="eastAsia"/>
          <w:spacing w:val="-68"/>
          <w:sz w:val="28"/>
          <w:szCs w:val="28"/>
          <w:lang w:eastAsia="zh-CN"/>
        </w:rPr>
        <w:t xml:space="preserve"> </w:t>
      </w:r>
      <w:r>
        <w:rPr>
          <w:rFonts w:hint="eastAsia"/>
          <w:spacing w:val="-4"/>
          <w:sz w:val="28"/>
          <w:szCs w:val="28"/>
          <w:lang w:eastAsia="zh-CN"/>
        </w:rPr>
        <w:t>解释寡头行为的经济模型与福利</w:t>
      </w:r>
    </w:p>
    <w:p w14:paraId="02AAD66E">
      <w:pPr>
        <w:spacing w:before="78" w:line="220" w:lineRule="auto"/>
        <w:ind w:left="21"/>
        <w:outlineLvl w:val="0"/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  <w:t>六、生产要素市场的局部均衡</w:t>
      </w:r>
    </w:p>
    <w:p w14:paraId="6EF0EAA9">
      <w:pPr>
        <w:pStyle w:val="2"/>
        <w:spacing w:before="173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（一）生产要素的需求</w:t>
      </w:r>
    </w:p>
    <w:p w14:paraId="2B675826">
      <w:pPr>
        <w:pStyle w:val="2"/>
        <w:spacing w:before="28" w:line="220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（二）生产要素的供给</w:t>
      </w:r>
    </w:p>
    <w:p w14:paraId="36AD72DC">
      <w:pPr>
        <w:pStyle w:val="2"/>
        <w:spacing w:before="27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（三）生产要素市场的均衡</w:t>
      </w:r>
    </w:p>
    <w:p w14:paraId="371C3F95">
      <w:pPr>
        <w:pStyle w:val="2"/>
        <w:spacing w:before="30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（四）生产要素市场均衡的变动</w:t>
      </w:r>
    </w:p>
    <w:p w14:paraId="51C012EA">
      <w:pPr>
        <w:spacing w:before="78" w:line="220" w:lineRule="auto"/>
        <w:ind w:left="21"/>
        <w:outlineLvl w:val="0"/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  <w:t>七、一般均衡和福利经济学</w:t>
      </w:r>
    </w:p>
    <w:p w14:paraId="50A28867">
      <w:pPr>
        <w:pStyle w:val="2"/>
        <w:spacing w:before="173" w:line="217" w:lineRule="auto"/>
        <w:ind w:left="30"/>
        <w:rPr>
          <w:rFonts w:hint="eastAsia"/>
          <w:sz w:val="28"/>
          <w:szCs w:val="28"/>
        </w:rPr>
      </w:pPr>
      <w:r>
        <w:rPr>
          <w:rFonts w:hint="eastAsia"/>
          <w:spacing w:val="-2"/>
          <w:sz w:val="28"/>
          <w:szCs w:val="28"/>
        </w:rPr>
        <w:t>（一）局部均衡与一般均衡</w:t>
      </w:r>
    </w:p>
    <w:p w14:paraId="0657B8C1">
      <w:pPr>
        <w:pStyle w:val="2"/>
        <w:spacing w:before="29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3"/>
          <w:sz w:val="28"/>
          <w:szCs w:val="28"/>
          <w:lang w:eastAsia="zh-CN"/>
        </w:rPr>
        <w:t>（二）经济效率</w:t>
      </w:r>
    </w:p>
    <w:p w14:paraId="6E5775B7">
      <w:pPr>
        <w:pStyle w:val="2"/>
        <w:spacing w:before="31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（三）帕累托最优的条件</w:t>
      </w:r>
    </w:p>
    <w:p w14:paraId="2C4BD0C3">
      <w:pPr>
        <w:pStyle w:val="2"/>
        <w:spacing w:before="29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（四）完全竞争和帕累托最优</w:t>
      </w:r>
    </w:p>
    <w:p w14:paraId="7394963D">
      <w:pPr>
        <w:pStyle w:val="2"/>
        <w:spacing w:before="28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（五）非完全竞争和帕累托最优</w:t>
      </w:r>
    </w:p>
    <w:p w14:paraId="2654945A">
      <w:pPr>
        <w:pStyle w:val="2"/>
        <w:spacing w:before="29" w:line="216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14"/>
          <w:sz w:val="28"/>
          <w:szCs w:val="28"/>
          <w:lang w:eastAsia="zh-CN"/>
        </w:rPr>
        <w:t>（六）“看不见的手</w:t>
      </w:r>
      <w:r>
        <w:rPr>
          <w:rFonts w:hint="eastAsia"/>
          <w:spacing w:val="-80"/>
          <w:sz w:val="28"/>
          <w:szCs w:val="28"/>
          <w:lang w:eastAsia="zh-CN"/>
        </w:rPr>
        <w:t xml:space="preserve"> </w:t>
      </w:r>
      <w:r>
        <w:rPr>
          <w:rFonts w:hint="eastAsia"/>
          <w:spacing w:val="-14"/>
          <w:sz w:val="28"/>
          <w:szCs w:val="28"/>
          <w:lang w:eastAsia="zh-CN"/>
        </w:rPr>
        <w:t>”假说</w:t>
      </w:r>
    </w:p>
    <w:p w14:paraId="15CC13A5">
      <w:pPr>
        <w:pStyle w:val="2"/>
        <w:spacing w:before="31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（七）社会福利函数</w:t>
      </w:r>
    </w:p>
    <w:p w14:paraId="511A5757">
      <w:pPr>
        <w:spacing w:before="78" w:line="220" w:lineRule="auto"/>
        <w:ind w:left="21"/>
        <w:outlineLvl w:val="0"/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  <w:t>八、市场失灵和微观经济政策</w:t>
      </w:r>
    </w:p>
    <w:p w14:paraId="7A95797F">
      <w:pPr>
        <w:pStyle w:val="2"/>
        <w:spacing w:before="174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（一）市场失灵</w:t>
      </w:r>
    </w:p>
    <w:p w14:paraId="5362F59F">
      <w:pPr>
        <w:pStyle w:val="2"/>
        <w:spacing w:before="28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（二）垄断与市场失灵及公共政策</w:t>
      </w:r>
    </w:p>
    <w:p w14:paraId="1675B19A">
      <w:pPr>
        <w:pStyle w:val="2"/>
        <w:spacing w:before="47" w:line="216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1"/>
          <w:sz w:val="28"/>
          <w:szCs w:val="28"/>
          <w:lang w:eastAsia="zh-CN"/>
        </w:rPr>
        <w:t>（三）外部性与市场失灵及公共政策</w:t>
      </w:r>
    </w:p>
    <w:p w14:paraId="3C2B1672">
      <w:pPr>
        <w:pStyle w:val="2"/>
        <w:spacing w:before="31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1"/>
          <w:sz w:val="28"/>
          <w:szCs w:val="28"/>
          <w:lang w:eastAsia="zh-CN"/>
        </w:rPr>
        <w:t>（四）公共物品、公共资源与市场失灵及公共政策</w:t>
      </w:r>
    </w:p>
    <w:p w14:paraId="5C08E16A">
      <w:pPr>
        <w:pStyle w:val="2"/>
        <w:spacing w:before="29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1"/>
          <w:sz w:val="28"/>
          <w:szCs w:val="28"/>
          <w:lang w:eastAsia="zh-CN"/>
        </w:rPr>
        <w:t>（五）信息不对称与市场失灵及公共政策</w:t>
      </w:r>
    </w:p>
    <w:p w14:paraId="5BBC7CB8">
      <w:pPr>
        <w:spacing w:before="78" w:line="220" w:lineRule="auto"/>
        <w:ind w:left="21"/>
        <w:outlineLvl w:val="0"/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  <w:t>九、博弈论</w:t>
      </w:r>
    </w:p>
    <w:p w14:paraId="6909772F">
      <w:pPr>
        <w:pStyle w:val="2"/>
        <w:spacing w:before="174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（一）博弈与策略行为</w:t>
      </w:r>
    </w:p>
    <w:p w14:paraId="2B2E25D6">
      <w:pPr>
        <w:pStyle w:val="2"/>
        <w:spacing w:before="31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3"/>
          <w:sz w:val="28"/>
          <w:szCs w:val="28"/>
          <w:lang w:eastAsia="zh-CN"/>
        </w:rPr>
        <w:t>（二）同时博弈与均衡</w:t>
      </w:r>
    </w:p>
    <w:p w14:paraId="246E3B77">
      <w:pPr>
        <w:pStyle w:val="2"/>
        <w:spacing w:before="29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（三）序贯博弈与均衡</w:t>
      </w:r>
    </w:p>
    <w:p w14:paraId="33EC0AF7">
      <w:pPr>
        <w:spacing w:before="78" w:line="220" w:lineRule="auto"/>
        <w:ind w:left="21"/>
        <w:jc w:val="center"/>
        <w:outlineLvl w:val="0"/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  <w:t>宏观经济理论</w:t>
      </w:r>
    </w:p>
    <w:p w14:paraId="016D6B31">
      <w:pPr>
        <w:spacing w:line="257" w:lineRule="auto"/>
        <w:rPr>
          <w:rFonts w:hint="eastAsia" w:ascii="仿宋" w:hAnsi="仿宋" w:eastAsia="仿宋" w:cs="仿宋"/>
          <w:sz w:val="28"/>
          <w:szCs w:val="28"/>
          <w:lang w:eastAsia="zh-CN"/>
        </w:rPr>
      </w:pPr>
    </w:p>
    <w:p w14:paraId="5DB5F8E3">
      <w:pPr>
        <w:spacing w:before="78" w:line="220" w:lineRule="auto"/>
        <w:ind w:left="21"/>
        <w:outlineLvl w:val="0"/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  <w:t>十、国民收入核算理论</w:t>
      </w:r>
    </w:p>
    <w:p w14:paraId="2919FE40">
      <w:pPr>
        <w:pStyle w:val="2"/>
        <w:spacing w:before="173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1"/>
          <w:sz w:val="28"/>
          <w:szCs w:val="28"/>
          <w:lang w:eastAsia="zh-CN"/>
        </w:rPr>
        <w:t>（一）宏观经济学发展简史与宏观经济学研究对象</w:t>
      </w:r>
    </w:p>
    <w:p w14:paraId="653B9DC3">
      <w:pPr>
        <w:pStyle w:val="2"/>
        <w:spacing w:before="31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（二）国内生产总值及其核算方法</w:t>
      </w:r>
    </w:p>
    <w:p w14:paraId="3B202ABD">
      <w:pPr>
        <w:pStyle w:val="2"/>
        <w:spacing w:before="30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（三）国民收入的其他衡量指标</w:t>
      </w:r>
    </w:p>
    <w:p w14:paraId="5C1479E3">
      <w:pPr>
        <w:pStyle w:val="2"/>
        <w:spacing w:before="30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（四）国民收入的基本等式</w:t>
      </w:r>
    </w:p>
    <w:p w14:paraId="1894E284">
      <w:pPr>
        <w:pStyle w:val="2"/>
        <w:spacing w:before="28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4"/>
          <w:sz w:val="28"/>
          <w:szCs w:val="28"/>
          <w:lang w:eastAsia="zh-CN"/>
        </w:rPr>
        <w:t>（五）名义</w:t>
      </w:r>
      <w:r>
        <w:rPr>
          <w:rFonts w:hint="eastAsia"/>
          <w:spacing w:val="-50"/>
          <w:sz w:val="28"/>
          <w:szCs w:val="28"/>
          <w:lang w:eastAsia="zh-CN"/>
        </w:rPr>
        <w:t xml:space="preserve"> </w:t>
      </w:r>
      <w:r>
        <w:rPr>
          <w:rFonts w:hint="eastAsia"/>
          <w:spacing w:val="-4"/>
          <w:sz w:val="28"/>
          <w:szCs w:val="28"/>
          <w:lang w:eastAsia="zh-CN"/>
        </w:rPr>
        <w:t>GDP</w:t>
      </w:r>
      <w:r>
        <w:rPr>
          <w:rFonts w:hint="eastAsia"/>
          <w:spacing w:val="-35"/>
          <w:sz w:val="28"/>
          <w:szCs w:val="28"/>
          <w:lang w:eastAsia="zh-CN"/>
        </w:rPr>
        <w:t xml:space="preserve"> </w:t>
      </w:r>
      <w:r>
        <w:rPr>
          <w:rFonts w:hint="eastAsia"/>
          <w:spacing w:val="-4"/>
          <w:sz w:val="28"/>
          <w:szCs w:val="28"/>
          <w:lang w:eastAsia="zh-CN"/>
        </w:rPr>
        <w:t>与实际</w:t>
      </w:r>
      <w:r>
        <w:rPr>
          <w:rFonts w:hint="eastAsia"/>
          <w:spacing w:val="-54"/>
          <w:sz w:val="28"/>
          <w:szCs w:val="28"/>
          <w:lang w:eastAsia="zh-CN"/>
        </w:rPr>
        <w:t xml:space="preserve"> </w:t>
      </w:r>
      <w:r>
        <w:rPr>
          <w:rFonts w:hint="eastAsia"/>
          <w:spacing w:val="-4"/>
          <w:sz w:val="28"/>
          <w:szCs w:val="28"/>
          <w:lang w:eastAsia="zh-CN"/>
        </w:rPr>
        <w:t>GDP</w:t>
      </w:r>
    </w:p>
    <w:p w14:paraId="22C2AEC2">
      <w:pPr>
        <w:pStyle w:val="2"/>
        <w:spacing w:before="28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（六）失业和物价水平的衡量</w:t>
      </w:r>
    </w:p>
    <w:p w14:paraId="21B702EC">
      <w:pPr>
        <w:spacing w:before="78" w:line="220" w:lineRule="auto"/>
        <w:ind w:left="21"/>
        <w:outlineLvl w:val="0"/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  <w:t>十一、长期中的国民收入决定理论</w:t>
      </w:r>
    </w:p>
    <w:p w14:paraId="04F7E54A">
      <w:pPr>
        <w:pStyle w:val="2"/>
        <w:spacing w:before="174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1"/>
          <w:sz w:val="28"/>
          <w:szCs w:val="28"/>
          <w:lang w:eastAsia="zh-CN"/>
        </w:rPr>
        <w:t>（一）长期中产品和服务的生产与决定</w:t>
      </w:r>
    </w:p>
    <w:p w14:paraId="3523FB49">
      <w:pPr>
        <w:pStyle w:val="2"/>
        <w:spacing w:before="28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（二）国民收入源自哪里、流向何处</w:t>
      </w:r>
    </w:p>
    <w:p w14:paraId="406BEA39">
      <w:pPr>
        <w:pStyle w:val="2"/>
        <w:spacing w:before="29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（三）长期中产品和服务的均衡</w:t>
      </w:r>
    </w:p>
    <w:p w14:paraId="07056A39">
      <w:pPr>
        <w:spacing w:before="78" w:line="220" w:lineRule="auto"/>
        <w:ind w:left="21"/>
        <w:outlineLvl w:val="0"/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  <w:t>十二、长期中的货币与通货膨胀</w:t>
      </w:r>
    </w:p>
    <w:p w14:paraId="75C8B431">
      <w:pPr>
        <w:pStyle w:val="2"/>
        <w:spacing w:before="175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4"/>
          <w:sz w:val="28"/>
          <w:szCs w:val="28"/>
          <w:lang w:eastAsia="zh-CN"/>
        </w:rPr>
        <w:t>（一）货币数量论</w:t>
      </w:r>
    </w:p>
    <w:p w14:paraId="2FB5B171">
      <w:pPr>
        <w:pStyle w:val="2"/>
        <w:spacing w:before="28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4"/>
          <w:sz w:val="28"/>
          <w:szCs w:val="28"/>
          <w:lang w:eastAsia="zh-CN"/>
        </w:rPr>
        <w:t>（二）货币铸造税</w:t>
      </w:r>
    </w:p>
    <w:p w14:paraId="6864F66B">
      <w:pPr>
        <w:pStyle w:val="2"/>
        <w:spacing w:before="29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（三）通货膨胀与利率</w:t>
      </w:r>
    </w:p>
    <w:p w14:paraId="044E53D2">
      <w:pPr>
        <w:pStyle w:val="2"/>
        <w:spacing w:before="28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3"/>
          <w:sz w:val="28"/>
          <w:szCs w:val="28"/>
          <w:lang w:eastAsia="zh-CN"/>
        </w:rPr>
        <w:t>（四）名义利率与货币需求</w:t>
      </w:r>
    </w:p>
    <w:p w14:paraId="4BF256CF">
      <w:pPr>
        <w:pStyle w:val="2"/>
        <w:spacing w:before="29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3"/>
          <w:sz w:val="28"/>
          <w:szCs w:val="28"/>
          <w:lang w:eastAsia="zh-CN"/>
        </w:rPr>
        <w:t>（五）通货膨胀的社会成本</w:t>
      </w:r>
    </w:p>
    <w:p w14:paraId="2AF933E5">
      <w:pPr>
        <w:pStyle w:val="2"/>
        <w:spacing w:before="28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（六）古典的二分法</w:t>
      </w:r>
    </w:p>
    <w:p w14:paraId="354892DC">
      <w:pPr>
        <w:spacing w:before="196" w:line="220" w:lineRule="auto"/>
        <w:ind w:left="29"/>
        <w:outlineLvl w:val="0"/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  <w:t>十三、长期中的失业理论</w:t>
      </w:r>
    </w:p>
    <w:p w14:paraId="3C36E461">
      <w:pPr>
        <w:pStyle w:val="2"/>
        <w:spacing w:before="173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（一）长期中的失业理论</w:t>
      </w:r>
    </w:p>
    <w:p w14:paraId="20E42AA4">
      <w:pPr>
        <w:pStyle w:val="2"/>
        <w:spacing w:before="28" w:line="219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（二）长期失业理论的应用</w:t>
      </w:r>
    </w:p>
    <w:p w14:paraId="6C44A167">
      <w:pPr>
        <w:spacing w:before="196" w:line="220" w:lineRule="auto"/>
        <w:ind w:left="29"/>
        <w:outlineLvl w:val="0"/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  <w:t>十四、长期中的经济增长理论</w:t>
      </w:r>
    </w:p>
    <w:p w14:paraId="1FF0E5BB">
      <w:pPr>
        <w:pStyle w:val="2"/>
        <w:spacing w:before="172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（一）增长核算与应用</w:t>
      </w:r>
    </w:p>
    <w:p w14:paraId="77A9ED67">
      <w:pPr>
        <w:pStyle w:val="2"/>
        <w:spacing w:before="29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5"/>
          <w:sz w:val="28"/>
          <w:szCs w:val="28"/>
          <w:lang w:eastAsia="zh-CN"/>
        </w:rPr>
        <w:t>（二）新古典增长理论、应用及政策</w:t>
      </w:r>
    </w:p>
    <w:p w14:paraId="4D058AA5">
      <w:pPr>
        <w:pStyle w:val="2"/>
        <w:spacing w:before="31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（三）内生增长理论、应用及政策</w:t>
      </w:r>
    </w:p>
    <w:p w14:paraId="68A4AA17">
      <w:pPr>
        <w:spacing w:before="196" w:line="220" w:lineRule="auto"/>
        <w:ind w:left="29"/>
        <w:outlineLvl w:val="0"/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  <w:t>十五、短期的国民收入决定理论 Ⅰ：收入——支出模型</w:t>
      </w:r>
    </w:p>
    <w:p w14:paraId="101E1F82">
      <w:pPr>
        <w:pStyle w:val="2"/>
        <w:spacing w:before="133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（一）均衡产出</w:t>
      </w:r>
    </w:p>
    <w:p w14:paraId="6EAB67F6">
      <w:pPr>
        <w:spacing w:line="217" w:lineRule="auto"/>
        <w:rPr>
          <w:rFonts w:hint="eastAsia" w:ascii="仿宋" w:hAnsi="仿宋" w:eastAsia="仿宋" w:cs="仿宋"/>
          <w:spacing w:val="-2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spacing w:val="-2"/>
          <w:sz w:val="28"/>
          <w:szCs w:val="28"/>
          <w:lang w:eastAsia="zh-CN"/>
        </w:rPr>
        <w:t>（二）凯恩斯的消费理论</w:t>
      </w:r>
    </w:p>
    <w:p w14:paraId="40C028E0">
      <w:pPr>
        <w:pStyle w:val="2"/>
        <w:spacing w:before="47" w:line="219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（三）收入——支出模型及应用</w:t>
      </w:r>
    </w:p>
    <w:p w14:paraId="26ECF16B">
      <w:pPr>
        <w:pStyle w:val="2"/>
        <w:spacing w:before="28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（四）乘数论</w:t>
      </w:r>
    </w:p>
    <w:p w14:paraId="6AF659C1">
      <w:pPr>
        <w:spacing w:before="196" w:line="220" w:lineRule="auto"/>
        <w:ind w:left="29"/>
        <w:outlineLvl w:val="0"/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  <w:t>十六、封闭条件下的短期国民收入决定理论Ⅱ：IS——LM 模型</w:t>
      </w:r>
    </w:p>
    <w:p w14:paraId="07DE30AF">
      <w:pPr>
        <w:pStyle w:val="2"/>
        <w:spacing w:before="173" w:line="219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（一）投资的决定</w:t>
      </w:r>
    </w:p>
    <w:p w14:paraId="71FE6EE1">
      <w:pPr>
        <w:pStyle w:val="2"/>
        <w:spacing w:before="27" w:line="219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4"/>
          <w:sz w:val="28"/>
          <w:szCs w:val="28"/>
          <w:lang w:eastAsia="zh-CN"/>
        </w:rPr>
        <w:t>（二）IS</w:t>
      </w:r>
      <w:r>
        <w:rPr>
          <w:rFonts w:hint="eastAsia"/>
          <w:spacing w:val="-42"/>
          <w:sz w:val="28"/>
          <w:szCs w:val="28"/>
          <w:lang w:eastAsia="zh-CN"/>
        </w:rPr>
        <w:t xml:space="preserve"> </w:t>
      </w:r>
      <w:r>
        <w:rPr>
          <w:rFonts w:hint="eastAsia"/>
          <w:spacing w:val="-4"/>
          <w:sz w:val="28"/>
          <w:szCs w:val="28"/>
          <w:lang w:eastAsia="zh-CN"/>
        </w:rPr>
        <w:t>模型</w:t>
      </w:r>
    </w:p>
    <w:p w14:paraId="48F0AE9D">
      <w:pPr>
        <w:pStyle w:val="2"/>
        <w:spacing w:before="27" w:line="219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4"/>
          <w:sz w:val="28"/>
          <w:szCs w:val="28"/>
          <w:lang w:eastAsia="zh-CN"/>
        </w:rPr>
        <w:t>（三）LM</w:t>
      </w:r>
      <w:r>
        <w:rPr>
          <w:rFonts w:hint="eastAsia"/>
          <w:spacing w:val="-42"/>
          <w:sz w:val="28"/>
          <w:szCs w:val="28"/>
          <w:lang w:eastAsia="zh-CN"/>
        </w:rPr>
        <w:t xml:space="preserve"> </w:t>
      </w:r>
      <w:r>
        <w:rPr>
          <w:rFonts w:hint="eastAsia"/>
          <w:spacing w:val="-4"/>
          <w:sz w:val="28"/>
          <w:szCs w:val="28"/>
          <w:lang w:eastAsia="zh-CN"/>
        </w:rPr>
        <w:t>模型</w:t>
      </w:r>
    </w:p>
    <w:p w14:paraId="5467A70F">
      <w:pPr>
        <w:pStyle w:val="2"/>
        <w:spacing w:before="27" w:line="219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3"/>
          <w:sz w:val="28"/>
          <w:szCs w:val="28"/>
          <w:lang w:eastAsia="zh-CN"/>
        </w:rPr>
        <w:t>（四）IS—LM</w:t>
      </w:r>
      <w:r>
        <w:rPr>
          <w:rFonts w:hint="eastAsia"/>
          <w:spacing w:val="-38"/>
          <w:sz w:val="28"/>
          <w:szCs w:val="28"/>
          <w:lang w:eastAsia="zh-CN"/>
        </w:rPr>
        <w:t xml:space="preserve"> </w:t>
      </w:r>
      <w:r>
        <w:rPr>
          <w:rFonts w:hint="eastAsia"/>
          <w:spacing w:val="-3"/>
          <w:sz w:val="28"/>
          <w:szCs w:val="28"/>
          <w:lang w:eastAsia="zh-CN"/>
        </w:rPr>
        <w:t>模型及应用</w:t>
      </w:r>
    </w:p>
    <w:p w14:paraId="2780C51D">
      <w:pPr>
        <w:pStyle w:val="2"/>
        <w:spacing w:before="28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6"/>
          <w:sz w:val="28"/>
          <w:szCs w:val="28"/>
          <w:lang w:eastAsia="zh-CN"/>
        </w:rPr>
        <w:t>（五）外生冲击下的短期均衡</w:t>
      </w:r>
    </w:p>
    <w:p w14:paraId="1216BB23">
      <w:pPr>
        <w:pStyle w:val="2"/>
        <w:spacing w:before="30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4"/>
          <w:sz w:val="28"/>
          <w:szCs w:val="28"/>
          <w:lang w:eastAsia="zh-CN"/>
        </w:rPr>
        <w:t>（六）外生冲击下短期均衡向长期均衡的调整</w:t>
      </w:r>
    </w:p>
    <w:p w14:paraId="0D15D9C7">
      <w:pPr>
        <w:spacing w:before="196" w:line="220" w:lineRule="auto"/>
        <w:ind w:left="29"/>
        <w:outlineLvl w:val="0"/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  <w:t>十七、短期的国民收入决定理论Ⅲ：AD—AS 模型</w:t>
      </w:r>
    </w:p>
    <w:p w14:paraId="1A505347">
      <w:pPr>
        <w:pStyle w:val="2"/>
        <w:spacing w:before="134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（一）总需求模型</w:t>
      </w:r>
    </w:p>
    <w:p w14:paraId="1697962C">
      <w:pPr>
        <w:pStyle w:val="2"/>
        <w:spacing w:before="28" w:line="219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（二）总供给模型</w:t>
      </w:r>
    </w:p>
    <w:p w14:paraId="5068E57C">
      <w:pPr>
        <w:pStyle w:val="2"/>
        <w:spacing w:before="28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1"/>
          <w:sz w:val="28"/>
          <w:szCs w:val="28"/>
          <w:lang w:eastAsia="zh-CN"/>
        </w:rPr>
        <w:t>（三）总需求——总供给模型及应用</w:t>
      </w:r>
    </w:p>
    <w:p w14:paraId="6338952B">
      <w:pPr>
        <w:pStyle w:val="2"/>
        <w:spacing w:before="29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（四）外生冲击下的短期均衡</w:t>
      </w:r>
    </w:p>
    <w:p w14:paraId="0CBF8BA2">
      <w:pPr>
        <w:pStyle w:val="2"/>
        <w:spacing w:before="30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1"/>
          <w:sz w:val="28"/>
          <w:szCs w:val="28"/>
          <w:lang w:eastAsia="zh-CN"/>
        </w:rPr>
        <w:t>（五）外生冲击下短期均衡向长期均衡的调整</w:t>
      </w:r>
    </w:p>
    <w:p w14:paraId="2B5C86BE">
      <w:pPr>
        <w:spacing w:before="196" w:line="220" w:lineRule="auto"/>
        <w:ind w:left="29"/>
        <w:outlineLvl w:val="0"/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  <w:t>十八、短期中的失业与通货膨胀</w:t>
      </w:r>
    </w:p>
    <w:p w14:paraId="17A9E60A">
      <w:pPr>
        <w:pStyle w:val="2"/>
        <w:spacing w:before="174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（一）短期中的失业理论</w:t>
      </w:r>
    </w:p>
    <w:p w14:paraId="6BEADE41">
      <w:pPr>
        <w:pStyle w:val="2"/>
        <w:spacing w:before="29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（二）短期中的通货膨胀理论</w:t>
      </w:r>
    </w:p>
    <w:p w14:paraId="2C5D4E8A">
      <w:pPr>
        <w:pStyle w:val="2"/>
        <w:spacing w:before="29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（三）菲利普斯曲线</w:t>
      </w:r>
    </w:p>
    <w:p w14:paraId="129ABF67">
      <w:pPr>
        <w:spacing w:before="196" w:line="220" w:lineRule="auto"/>
        <w:ind w:left="29"/>
        <w:outlineLvl w:val="0"/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  <w:t>十九、开放条件下的 IS——LM 模型</w:t>
      </w:r>
    </w:p>
    <w:p w14:paraId="55AD9FE5">
      <w:pPr>
        <w:pStyle w:val="2"/>
        <w:spacing w:before="174" w:line="219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（一）汇率与对外贸易</w:t>
      </w:r>
    </w:p>
    <w:p w14:paraId="00DBE6FE">
      <w:pPr>
        <w:pStyle w:val="2"/>
        <w:spacing w:before="27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1"/>
          <w:sz w:val="28"/>
          <w:szCs w:val="28"/>
          <w:lang w:eastAsia="zh-CN"/>
        </w:rPr>
        <w:t>（二）蒙代尔——弗莱明模型及应用</w:t>
      </w:r>
    </w:p>
    <w:p w14:paraId="0F3946BD">
      <w:pPr>
        <w:spacing w:before="196" w:line="220" w:lineRule="auto"/>
        <w:ind w:left="29"/>
        <w:outlineLvl w:val="0"/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  <w:t>二十、宏观经济政策</w:t>
      </w:r>
    </w:p>
    <w:p w14:paraId="235B7770">
      <w:pPr>
        <w:pStyle w:val="2"/>
        <w:spacing w:before="172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（一）宏观经济政策与目标</w:t>
      </w:r>
    </w:p>
    <w:p w14:paraId="0701BA34">
      <w:pPr>
        <w:pStyle w:val="2"/>
        <w:spacing w:before="31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（二）财政政策及其效果</w:t>
      </w:r>
    </w:p>
    <w:p w14:paraId="685102B1">
      <w:pPr>
        <w:pStyle w:val="2"/>
        <w:spacing w:before="28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（三）货币政策及其效果</w:t>
      </w:r>
    </w:p>
    <w:p w14:paraId="06E11F6D">
      <w:pPr>
        <w:pStyle w:val="2"/>
        <w:spacing w:before="28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（四）两种政策的混合使用</w:t>
      </w:r>
    </w:p>
    <w:p w14:paraId="057F4F99">
      <w:pPr>
        <w:pStyle w:val="2"/>
        <w:spacing w:before="31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1"/>
          <w:sz w:val="28"/>
          <w:szCs w:val="28"/>
          <w:lang w:eastAsia="zh-CN"/>
        </w:rPr>
        <w:t>（五）总需求管理政策与总供给管理政策</w:t>
      </w:r>
    </w:p>
    <w:p w14:paraId="001D6080">
      <w:pPr>
        <w:pStyle w:val="2"/>
        <w:spacing w:before="28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7"/>
          <w:sz w:val="28"/>
          <w:szCs w:val="28"/>
          <w:lang w:eastAsia="zh-CN"/>
        </w:rPr>
        <w:t>（六）宏观经济政策争论</w:t>
      </w:r>
    </w:p>
    <w:p w14:paraId="020BBFA8">
      <w:pPr>
        <w:spacing w:before="196" w:line="220" w:lineRule="auto"/>
        <w:ind w:left="29"/>
        <w:outlineLvl w:val="0"/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  <w:t>二十一、宏观经济学的微观基础</w:t>
      </w:r>
    </w:p>
    <w:p w14:paraId="17C44981">
      <w:pPr>
        <w:pStyle w:val="2"/>
        <w:spacing w:before="174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3"/>
          <w:sz w:val="28"/>
          <w:szCs w:val="28"/>
          <w:lang w:eastAsia="zh-CN"/>
        </w:rPr>
        <w:t>（一）消费理论</w:t>
      </w:r>
    </w:p>
    <w:p w14:paraId="6044A7ED">
      <w:pPr>
        <w:pStyle w:val="2"/>
        <w:spacing w:before="29" w:line="220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3"/>
          <w:sz w:val="28"/>
          <w:szCs w:val="28"/>
          <w:lang w:eastAsia="zh-CN"/>
        </w:rPr>
        <w:t>（二）投资理论</w:t>
      </w:r>
    </w:p>
    <w:p w14:paraId="44EB1364">
      <w:pPr>
        <w:pStyle w:val="2"/>
        <w:spacing w:before="27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8"/>
          <w:sz w:val="28"/>
          <w:szCs w:val="28"/>
          <w:lang w:eastAsia="zh-CN"/>
        </w:rPr>
        <w:t>（三）货币供给理论</w:t>
      </w:r>
    </w:p>
    <w:p w14:paraId="0953AEDC">
      <w:pPr>
        <w:pStyle w:val="2"/>
        <w:spacing w:before="28" w:line="218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（四）货币需求理论</w:t>
      </w:r>
    </w:p>
    <w:p w14:paraId="6A67E4FE">
      <w:pPr>
        <w:spacing w:before="196" w:line="220" w:lineRule="auto"/>
        <w:ind w:left="29"/>
        <w:outlineLvl w:val="0"/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color w:val="333333"/>
          <w:spacing w:val="-1"/>
          <w:sz w:val="28"/>
          <w:szCs w:val="28"/>
          <w:lang w:eastAsia="zh-CN"/>
        </w:rPr>
        <w:t>二十二、宏观经济学的基本共识与争论</w:t>
      </w:r>
    </w:p>
    <w:p w14:paraId="2EC8D185">
      <w:pPr>
        <w:pStyle w:val="2"/>
        <w:spacing w:before="174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（一）当前宏观经济学的基本共识</w:t>
      </w:r>
    </w:p>
    <w:p w14:paraId="78BBBEAE">
      <w:pPr>
        <w:pStyle w:val="2"/>
        <w:spacing w:before="30" w:line="217" w:lineRule="auto"/>
        <w:ind w:left="30"/>
        <w:rPr>
          <w:rFonts w:hint="eastAsia"/>
          <w:sz w:val="28"/>
          <w:szCs w:val="28"/>
          <w:lang w:eastAsia="zh-CN"/>
        </w:rPr>
      </w:pPr>
      <w:r>
        <w:rPr>
          <w:rFonts w:hint="eastAsia"/>
          <w:spacing w:val="-2"/>
          <w:sz w:val="28"/>
          <w:szCs w:val="28"/>
          <w:lang w:eastAsia="zh-CN"/>
        </w:rPr>
        <w:t>（二）当前宏观经济学的争论</w:t>
      </w:r>
    </w:p>
    <w:sectPr>
      <w:headerReference r:id="rId5" w:type="first"/>
      <w:footerReference r:id="rId8" w:type="first"/>
      <w:headerReference r:id="rId3" w:type="default"/>
      <w:footerReference r:id="rId6" w:type="default"/>
      <w:headerReference r:id="rId4" w:type="even"/>
      <w:footerReference r:id="rId7" w:type="even"/>
      <w:pgSz w:w="11907" w:h="16839"/>
      <w:pgMar w:top="1428" w:right="1785" w:bottom="1372" w:left="1785" w:header="0" w:footer="1209" w:gutter="0"/>
      <w:cols w:space="720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3ADB21A1-5A23-4687-81CE-CD93938DA728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73ED65F2-ED01-4A5E-888F-7A43E213B2EB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3" w:fontKey="{1BC08054-37E5-4E2F-BEEB-CED4F8C28E3A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0A91B8D5-CCCA-4040-82D8-3232FAD52080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5" w:fontKey="{7F1BD407-B872-449A-998C-E4A17C4D0DBB}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  <w:embedRegular r:id="rId6" w:fontKey="{9BE9B947-BAAA-4863-90DA-F491718681D6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7" w:fontKey="{8C6DBAAC-D59F-4F98-AA9B-F3862287F318}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8" w:fontKey="{02CBB426-7539-46E6-92C4-25048E2DF974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2046020395"/>
      <w:docPartObj>
        <w:docPartGallery w:val="AutoText"/>
      </w:docPartObj>
    </w:sdtPr>
    <w:sdtContent>
      <w:p w14:paraId="362BDB12">
        <w:pPr>
          <w:pStyle w:val="3"/>
          <w:jc w:val="center"/>
          <w:rPr>
            <w:rFonts w:hint="eastAsia"/>
          </w:rPr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 w:eastAsia="zh-CN"/>
          </w:rPr>
          <w:t>2</w:t>
        </w:r>
        <w:r>
          <w:fldChar w:fldCharType="end"/>
        </w:r>
      </w:p>
    </w:sdtContent>
  </w:sdt>
  <w:p w14:paraId="6598811C">
    <w:pPr>
      <w:spacing w:line="166" w:lineRule="auto"/>
      <w:ind w:right="7"/>
      <w:jc w:val="right"/>
      <w:rPr>
        <w:rFonts w:ascii="Calibri" w:hAnsi="Calibri" w:eastAsia="Calibri" w:cs="Calibri"/>
        <w:sz w:val="18"/>
        <w:szCs w:val="18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82C5FD7">
    <w:pPr>
      <w:pStyle w:val="3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6FF5308">
    <w:pPr>
      <w:pStyle w:val="3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723229D">
    <w:pPr>
      <w:pStyle w:val="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C0ABB33">
    <w:pPr>
      <w:pStyle w:val="4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572433B">
    <w:pPr>
      <w:pStyle w:val="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doNotDisplayPageBoundaries w:val="1"/>
  <w:displayBackgroundShape w:val="1"/>
  <w:embedTrueTypeFonts/>
  <w:bordersDoNotSurroundHeader w:val="1"/>
  <w:bordersDoNotSurroundFooter w:val="1"/>
  <w:documentProtection w:enforcement="0"/>
  <w:defaultTabStop w:val="420"/>
  <w:characterSpacingControl w:val="doNotCompress"/>
  <w:compat>
    <w:spaceForUL/>
    <w:ulTrailSpace/>
    <w:useFELayout/>
    <w:compatSetting w:name="compatibilityMode" w:uri="http://schemas.microsoft.com/office/word" w:val="14"/>
  </w:compat>
  <w:rsids>
    <w:rsidRoot w:val="00616876"/>
    <w:rsid w:val="00282CFB"/>
    <w:rsid w:val="003546DD"/>
    <w:rsid w:val="00376B84"/>
    <w:rsid w:val="003A0D45"/>
    <w:rsid w:val="003F4115"/>
    <w:rsid w:val="0051168F"/>
    <w:rsid w:val="00595B09"/>
    <w:rsid w:val="00616876"/>
    <w:rsid w:val="006F7E44"/>
    <w:rsid w:val="0089493D"/>
    <w:rsid w:val="009A207A"/>
    <w:rsid w:val="00B14F44"/>
    <w:rsid w:val="00C155BD"/>
    <w:rsid w:val="00CE1CC6"/>
    <w:rsid w:val="00E030D6"/>
    <w:rsid w:val="00E77E27"/>
    <w:rsid w:val="00F64CD7"/>
    <w:rsid w:val="01A20482"/>
    <w:rsid w:val="223B1839"/>
    <w:rsid w:val="305F115B"/>
    <w:rsid w:val="405E7DE3"/>
    <w:rsid w:val="4F0253F7"/>
    <w:rsid w:val="50CD610B"/>
    <w:rsid w:val="525C2875"/>
    <w:rsid w:val="5F866A93"/>
    <w:rsid w:val="60F43F81"/>
    <w:rsid w:val="76786C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Arial" w:hAnsi="Arial" w:eastAsiaTheme="minorEastAsia" w:cs="Arial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nhideWhenUsed="0" w:uiPriority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semiHidden/>
    <w:qFormat/>
    <w:uiPriority w:val="0"/>
    <w:pPr>
      <w:kinsoku w:val="0"/>
      <w:autoSpaceDE w:val="0"/>
      <w:autoSpaceDN w:val="0"/>
      <w:adjustRightInd w:val="0"/>
      <w:snapToGrid w:val="0"/>
      <w:textAlignment w:val="baseline"/>
    </w:pPr>
    <w:rPr>
      <w:rFonts w:ascii="Arial" w:hAnsi="Arial" w:eastAsia="Arial" w:cs="Arial"/>
      <w:snapToGrid w:val="0"/>
      <w:color w:val="000000"/>
      <w:sz w:val="21"/>
      <w:szCs w:val="21"/>
      <w:lang w:val="en-US" w:eastAsia="en-US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semiHidden/>
    <w:qFormat/>
    <w:uiPriority w:val="0"/>
    <w:rPr>
      <w:rFonts w:ascii="仿宋" w:hAnsi="仿宋" w:eastAsia="仿宋" w:cs="仿宋"/>
      <w:sz w:val="24"/>
      <w:szCs w:val="24"/>
    </w:rPr>
  </w:style>
  <w:style w:type="paragraph" w:styleId="3">
    <w:name w:val="footer"/>
    <w:basedOn w:val="1"/>
    <w:link w:val="8"/>
    <w:qFormat/>
    <w:uiPriority w:val="99"/>
    <w:pPr>
      <w:tabs>
        <w:tab w:val="center" w:pos="4153"/>
        <w:tab w:val="right" w:pos="8306"/>
      </w:tabs>
    </w:pPr>
    <w:rPr>
      <w:sz w:val="18"/>
      <w:szCs w:val="18"/>
    </w:rPr>
  </w:style>
  <w:style w:type="paragraph" w:styleId="4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jc w:val="both"/>
    </w:pPr>
    <w:rPr>
      <w:sz w:val="18"/>
    </w:rPr>
  </w:style>
  <w:style w:type="table" w:customStyle="1" w:styleId="7">
    <w:name w:val="Table Normal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8">
    <w:name w:val="页脚 字符"/>
    <w:basedOn w:val="6"/>
    <w:link w:val="3"/>
    <w:qFormat/>
    <w:uiPriority w:val="99"/>
    <w:rPr>
      <w:rFonts w:eastAsia="Arial"/>
      <w:snapToGrid w:val="0"/>
      <w:color w:val="000000"/>
      <w:sz w:val="18"/>
      <w:szCs w:val="18"/>
      <w:lang w:eastAsia="en-US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1744</Words>
  <Characters>1766</Characters>
  <Lines>13</Lines>
  <Paragraphs>3</Paragraphs>
  <TotalTime>39</TotalTime>
  <ScaleCrop>false</ScaleCrop>
  <LinksUpToDate>false</LinksUpToDate>
  <CharactersWithSpaces>1790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2023-12-15T14:15:00Z</dcterms:created>
  <dc:creator>微软用户</dc:creator>
  <cp:lastModifiedBy>夭桃秾李</cp:lastModifiedBy>
  <dcterms:modified xsi:type="dcterms:W3CDTF">2025-11-20T01:12:51Z</dcterms:modified>
  <cp:revision>11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O">
    <vt:lpwstr>wqlLaW5nc29mdCBQREYgdG8gV1BTIDEwMA</vt:lpwstr>
  </property>
  <property fmtid="{D5CDD505-2E9C-101B-9397-08002B2CF9AE}" pid="3" name="Created">
    <vt:filetime>2024-11-25T14:44:55Z</vt:filetime>
  </property>
  <property fmtid="{D5CDD505-2E9C-101B-9397-08002B2CF9AE}" pid="4" name="KSOProductBuildVer">
    <vt:lpwstr>2052-12.1.0.23542</vt:lpwstr>
  </property>
  <property fmtid="{D5CDD505-2E9C-101B-9397-08002B2CF9AE}" pid="5" name="ICV">
    <vt:lpwstr>30AB12D32437455FA66A9AA78DED373C</vt:lpwstr>
  </property>
  <property fmtid="{D5CDD505-2E9C-101B-9397-08002B2CF9AE}" pid="6" name="KSOTemplateDocerSaveRecord">
    <vt:lpwstr>eyJoZGlkIjoiOWIzNjUwNmRkNWZmYjQwMjQ3NDVhNjk2OWQ3YzA0OGMiLCJ1c2VySWQiOiI0NTQyODk4MjgifQ==</vt:lpwstr>
  </property>
</Properties>
</file>